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A" w:rsidRDefault="00EC22D7" w:rsidP="00ED6D7B">
      <w:pPr>
        <w:jc w:val="center"/>
        <w:rPr>
          <w:rFonts w:ascii="华文中宋" w:eastAsia="华文中宋" w:hAnsi="华文中宋"/>
          <w:sz w:val="36"/>
          <w:szCs w:val="36"/>
        </w:rPr>
      </w:pPr>
      <w:r w:rsidRPr="00EC22D7">
        <w:rPr>
          <w:rFonts w:ascii="华文中宋" w:eastAsia="华文中宋" w:hAnsi="华文中宋" w:hint="eastAsia"/>
          <w:sz w:val="36"/>
          <w:szCs w:val="36"/>
        </w:rPr>
        <w:t>关于优化校园网登录界面相关信息的通知</w:t>
      </w:r>
    </w:p>
    <w:p w:rsidR="00ED6D7B" w:rsidRDefault="00ED6D7B" w:rsidP="00ED6D7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校园网用户：</w:t>
      </w:r>
    </w:p>
    <w:p w:rsidR="00ED6D7B" w:rsidRDefault="00ED6D7B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为便于校园网用户实时查看账户登录信息和</w:t>
      </w:r>
      <w:r w:rsidR="00B70AC9">
        <w:rPr>
          <w:rFonts w:ascii="仿宋" w:eastAsia="仿宋" w:hAnsi="仿宋" w:hint="eastAsia"/>
          <w:sz w:val="30"/>
          <w:szCs w:val="30"/>
        </w:rPr>
        <w:t>调整</w:t>
      </w:r>
      <w:r>
        <w:rPr>
          <w:rFonts w:ascii="仿宋" w:eastAsia="仿宋" w:hAnsi="仿宋" w:hint="eastAsia"/>
          <w:sz w:val="30"/>
          <w:szCs w:val="30"/>
        </w:rPr>
        <w:t>无线</w:t>
      </w:r>
      <w:r w:rsidR="00B70AC9">
        <w:rPr>
          <w:rFonts w:ascii="仿宋" w:eastAsia="仿宋" w:hAnsi="仿宋" w:hint="eastAsia"/>
          <w:sz w:val="30"/>
          <w:szCs w:val="30"/>
        </w:rPr>
        <w:t>设备账号</w:t>
      </w:r>
      <w:r>
        <w:rPr>
          <w:rFonts w:ascii="仿宋" w:eastAsia="仿宋" w:hAnsi="仿宋" w:hint="eastAsia"/>
          <w:sz w:val="30"/>
          <w:szCs w:val="30"/>
        </w:rPr>
        <w:t>绑定的使用，网络信息中心近期对上网登录页面（包括台式机和手机等</w:t>
      </w:r>
      <w:r w:rsidR="00FD7144">
        <w:rPr>
          <w:rFonts w:ascii="仿宋" w:eastAsia="仿宋" w:hAnsi="仿宋" w:hint="eastAsia"/>
          <w:sz w:val="30"/>
          <w:szCs w:val="30"/>
        </w:rPr>
        <w:t>移动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终端）进行信息内容调整，增加了用户上网信息和</w:t>
      </w:r>
      <w:r w:rsidR="00B70AC9">
        <w:rPr>
          <w:rFonts w:ascii="仿宋" w:eastAsia="仿宋" w:hAnsi="仿宋" w:hint="eastAsia"/>
          <w:sz w:val="30"/>
          <w:szCs w:val="30"/>
        </w:rPr>
        <w:t>解绑</w:t>
      </w:r>
      <w:r>
        <w:rPr>
          <w:rFonts w:ascii="仿宋" w:eastAsia="仿宋" w:hAnsi="仿宋" w:hint="eastAsia"/>
          <w:sz w:val="30"/>
          <w:szCs w:val="30"/>
        </w:rPr>
        <w:t>账号登录无线设备等。</w:t>
      </w:r>
    </w:p>
    <w:p w:rsidR="00ED6D7B" w:rsidRDefault="00ED6D7B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具体使用如下：</w:t>
      </w:r>
    </w:p>
    <w:p w:rsidR="00ED6D7B" w:rsidRDefault="00ED6D7B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登录页面链接：</w:t>
      </w:r>
      <w:hyperlink r:id="rId5" w:history="1">
        <w:r w:rsidRPr="00B742DD">
          <w:rPr>
            <w:rStyle w:val="a3"/>
            <w:rFonts w:ascii="仿宋" w:eastAsia="仿宋" w:hAnsi="仿宋" w:hint="eastAsia"/>
            <w:sz w:val="30"/>
            <w:szCs w:val="30"/>
          </w:rPr>
          <w:t>http://jifei.bigc.edu.cn</w:t>
        </w:r>
      </w:hyperlink>
      <w:r>
        <w:rPr>
          <w:rFonts w:ascii="仿宋" w:eastAsia="仿宋" w:hAnsi="仿宋" w:hint="eastAsia"/>
          <w:sz w:val="30"/>
          <w:szCs w:val="30"/>
        </w:rPr>
        <w:t>(台式机和手机相同)</w:t>
      </w:r>
      <w:r w:rsidR="007A16D1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5266690" cy="2426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3D" w:rsidRPr="00317B3D" w:rsidRDefault="00317B3D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317B3D">
        <w:rPr>
          <w:rFonts w:ascii="仿宋" w:eastAsia="仿宋" w:hAnsi="仿宋" w:hint="eastAsia"/>
          <w:sz w:val="30"/>
          <w:szCs w:val="30"/>
        </w:rPr>
        <w:t>注：公共电脑不要点击保存密码。</w:t>
      </w:r>
    </w:p>
    <w:p w:rsidR="00ED6D7B" w:rsidRDefault="00ED6D7B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登录成功后页面</w:t>
      </w:r>
      <w:r w:rsidR="009A66BC">
        <w:rPr>
          <w:rFonts w:ascii="仿宋" w:eastAsia="仿宋" w:hAnsi="仿宋" w:hint="eastAsia"/>
          <w:sz w:val="30"/>
          <w:szCs w:val="30"/>
        </w:rPr>
        <w:t>及操作说明</w:t>
      </w:r>
      <w:r w:rsidR="00317B3D">
        <w:rPr>
          <w:rFonts w:ascii="仿宋" w:eastAsia="仿宋" w:hAnsi="仿宋" w:hint="eastAsia"/>
          <w:sz w:val="30"/>
          <w:szCs w:val="30"/>
        </w:rPr>
        <w:t>（台式机）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317B3D" w:rsidRDefault="009A66BC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5266690" cy="2971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3D" w:rsidRDefault="00317B3D" w:rsidP="00317B3D">
      <w:pPr>
        <w:ind w:firstLine="600"/>
        <w:jc w:val="left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登录成功后页面</w:t>
      </w:r>
      <w:r w:rsidR="009A66BC">
        <w:rPr>
          <w:rFonts w:ascii="仿宋" w:eastAsia="仿宋" w:hAnsi="仿宋" w:hint="eastAsia"/>
          <w:sz w:val="30"/>
          <w:szCs w:val="30"/>
        </w:rPr>
        <w:t>及操作说明</w:t>
      </w:r>
      <w:r w:rsidR="00FD7144">
        <w:rPr>
          <w:rFonts w:ascii="仿宋" w:eastAsia="仿宋" w:hAnsi="仿宋" w:hint="eastAsia"/>
          <w:sz w:val="30"/>
          <w:szCs w:val="30"/>
        </w:rPr>
        <w:t>（手机等移动</w:t>
      </w:r>
      <w:r>
        <w:rPr>
          <w:rFonts w:ascii="仿宋" w:eastAsia="仿宋" w:hAnsi="仿宋" w:hint="eastAsia"/>
          <w:sz w:val="30"/>
          <w:szCs w:val="30"/>
        </w:rPr>
        <w:t>终端）：</w:t>
      </w:r>
    </w:p>
    <w:p w:rsidR="009A66BC" w:rsidRPr="00317B3D" w:rsidRDefault="009A66BC" w:rsidP="00317B3D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5266690" cy="70338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44" w:rsidRDefault="00D51944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如有相关问题请</w:t>
      </w:r>
      <w:proofErr w:type="gramStart"/>
      <w:r>
        <w:rPr>
          <w:rFonts w:ascii="仿宋" w:eastAsia="仿宋" w:hAnsi="仿宋"/>
          <w:sz w:val="30"/>
          <w:szCs w:val="30"/>
        </w:rPr>
        <w:t>咨询网信中心</w:t>
      </w:r>
      <w:proofErr w:type="gramEnd"/>
      <w:r>
        <w:rPr>
          <w:rFonts w:ascii="仿宋" w:eastAsia="仿宋" w:hAnsi="仿宋" w:hint="eastAsia"/>
          <w:sz w:val="30"/>
          <w:szCs w:val="30"/>
        </w:rPr>
        <w:t>！</w:t>
      </w:r>
    </w:p>
    <w:p w:rsidR="00317B3D" w:rsidRDefault="00D51944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联系电话</w:t>
      </w:r>
      <w:r>
        <w:rPr>
          <w:rFonts w:ascii="仿宋" w:eastAsia="仿宋" w:hAnsi="仿宋" w:hint="eastAsia"/>
          <w:sz w:val="30"/>
          <w:szCs w:val="30"/>
        </w:rPr>
        <w:t>：60261195</w:t>
      </w:r>
    </w:p>
    <w:p w:rsidR="00D51944" w:rsidRDefault="00D51944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网络安全与信息化中心</w:t>
      </w:r>
    </w:p>
    <w:p w:rsidR="00D51944" w:rsidRPr="00317B3D" w:rsidRDefault="00D51944" w:rsidP="00ED6D7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2021-5-8</w:t>
      </w:r>
    </w:p>
    <w:sectPr w:rsidR="00D51944" w:rsidRPr="00317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BF"/>
    <w:rsid w:val="00317B3D"/>
    <w:rsid w:val="007A16D1"/>
    <w:rsid w:val="00887ABF"/>
    <w:rsid w:val="009A66BC"/>
    <w:rsid w:val="00B70AC9"/>
    <w:rsid w:val="00D51944"/>
    <w:rsid w:val="00E445DA"/>
    <w:rsid w:val="00EC22D7"/>
    <w:rsid w:val="00ED6D7B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7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A16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1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7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A16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1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jifei.bigc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yudunyi</dc:creator>
  <cp:keywords/>
  <dc:description/>
  <cp:lastModifiedBy>yudunyi</cp:lastModifiedBy>
  <cp:revision>6</cp:revision>
  <dcterms:created xsi:type="dcterms:W3CDTF">2021-05-08T06:43:00Z</dcterms:created>
  <dcterms:modified xsi:type="dcterms:W3CDTF">2021-05-08T07:59:00Z</dcterms:modified>
</cp:coreProperties>
</file>